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81" w:lineRule="auto"/>
        <w:ind w:left="92" w:right="366" w:firstLine="0"/>
        <w:jc w:val="cente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3030855</wp:posOffset>
            </wp:positionH>
            <wp:positionV relativeFrom="paragraph">
              <wp:posOffset>-412749</wp:posOffset>
            </wp:positionV>
            <wp:extent cx="414020" cy="516255"/>
            <wp:effectExtent b="0" l="0" r="0" t="0"/>
            <wp:wrapTopAndBottom distB="0" distT="0"/>
            <wp:docPr descr="stemma" id="3" name="image1.png"/>
            <a:graphic>
              <a:graphicData uri="http://schemas.openxmlformats.org/drawingml/2006/picture">
                <pic:pic>
                  <pic:nvPicPr>
                    <pic:cNvPr descr="stemma" id="0" name="image1.png"/>
                    <pic:cNvPicPr preferRelativeResize="0"/>
                  </pic:nvPicPr>
                  <pic:blipFill>
                    <a:blip r:embed="rId6"/>
                    <a:srcRect b="0" l="0" r="0" t="0"/>
                    <a:stretch>
                      <a:fillRect/>
                    </a:stretch>
                  </pic:blipFill>
                  <pic:spPr>
                    <a:xfrm>
                      <a:off x="0" y="0"/>
                      <a:ext cx="414020" cy="516255"/>
                    </a:xfrm>
                    <a:prstGeom prst="rect"/>
                    <a:ln/>
                  </pic:spPr>
                </pic:pic>
              </a:graphicData>
            </a:graphic>
          </wp:anchor>
        </w:drawing>
      </w:r>
    </w:p>
    <w:p w:rsidR="00000000" w:rsidDel="00000000" w:rsidP="00000000" w:rsidRDefault="00000000" w:rsidRPr="00000000" w14:paraId="00000002">
      <w:pPr>
        <w:pStyle w:val="Heading1"/>
        <w:spacing w:before="81" w:lineRule="auto"/>
        <w:ind w:left="92" w:right="366" w:firstLine="0"/>
        <w:jc w:val="center"/>
        <w:rPr/>
      </w:pPr>
      <w:r w:rsidDel="00000000" w:rsidR="00000000" w:rsidRPr="00000000">
        <w:rPr>
          <w:rtl w:val="0"/>
        </w:rPr>
        <w:t xml:space="preserve">COMUNE DI SANTA MARIA LA CARITÀ</w:t>
      </w:r>
    </w:p>
    <w:p w:rsidR="00000000" w:rsidDel="00000000" w:rsidP="00000000" w:rsidRDefault="00000000" w:rsidRPr="00000000" w14:paraId="00000003">
      <w:pPr>
        <w:spacing w:before="1" w:lineRule="auto"/>
        <w:ind w:right="3897"/>
        <w:jc w:val="right"/>
        <w:rPr>
          <w:b w:val="1"/>
          <w:bCs w:val="1"/>
        </w:rPr>
      </w:pPr>
      <w:r w:rsidDel="00000000" w:rsidR="00000000" w:rsidRPr="00000000">
        <w:rPr>
          <w:rtl w:val="0"/>
        </w:rPr>
      </w:r>
    </w:p>
    <w:p w:rsidR="00000000" w:rsidDel="00000000" w:rsidP="00000000" w:rsidRDefault="00000000" w:rsidRPr="00000000" w14:paraId="00000004">
      <w:pPr>
        <w:spacing w:before="1" w:lineRule="auto"/>
        <w:ind w:right="3897"/>
        <w:jc w:val="right"/>
        <w:rPr>
          <w:b w:val="1"/>
          <w:bCs w:val="1"/>
        </w:rPr>
      </w:pPr>
      <w:r w:rsidDel="00000000" w:rsidR="00000000" w:rsidRPr="00000000">
        <w:rPr>
          <w:b w:val="1"/>
          <w:bCs w:val="1"/>
          <w:rtl w:val="0"/>
        </w:rPr>
        <w:t xml:space="preserve">(</w:t>
      </w:r>
      <w:r w:rsidDel="00000000" w:rsidR="00000000" w:rsidRPr="00000000">
        <w:rPr>
          <w:b w:val="1"/>
          <w:bCs w:val="1"/>
          <w:i w:val="1"/>
          <w:iCs w:val="1"/>
          <w:rtl w:val="0"/>
        </w:rPr>
        <w:t xml:space="preserve">Città Metropolitana di Napoli</w:t>
      </w:r>
      <w:r w:rsidDel="00000000" w:rsidR="00000000" w:rsidRPr="00000000">
        <w:rPr>
          <w:b w:val="1"/>
          <w:bCs w:val="1"/>
          <w:rtl w:val="0"/>
        </w:rPr>
        <w:t xml:space="preserv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ind w:left="212" w:right="483" w:firstLine="0"/>
        <w:jc w:val="both"/>
        <w:rPr>
          <w:b w:val="1"/>
          <w:bCs w:val="1"/>
        </w:rPr>
      </w:pPr>
      <w:bookmarkStart w:colFirst="0" w:colLast="0" w:name="_bat2k5o97ok3" w:id="0"/>
      <w:bookmarkEnd w:id="0"/>
      <w:r w:rsidDel="00000000" w:rsidR="00000000" w:rsidRPr="00000000">
        <w:rPr>
          <w:b w:val="1"/>
          <w:bCs w:val="1"/>
          <w:rtl w:val="0"/>
        </w:rPr>
        <w:t xml:space="preserve">AVVISO PUBBLICO PER IL CONFERIMENTO DI UN INCARICO ESTERNO, A TEMPO DETERMINATO E PIENO  (36 ORE) DI N. 1 ISTRUTTORE DIRETTIVO DI VIGILANZA (EX  CATEGORIA D), AREA DEI FUNZIONARI DI ELEVATA QUALIFICAZIONE AI SENSI DELL’ART. 110, COMMA 1, DEL DGS 267/2000 e ss.mm.ii. </w:t>
      </w:r>
    </w:p>
    <w:p w:rsidR="00000000" w:rsidDel="00000000" w:rsidP="00000000" w:rsidRDefault="00000000" w:rsidRPr="00000000" w14:paraId="00000007">
      <w:pPr>
        <w:ind w:left="212" w:right="483" w:firstLine="0"/>
        <w:jc w:val="both"/>
        <w:rPr>
          <w:b w:val="1"/>
          <w:bCs w:val="1"/>
        </w:rPr>
      </w:pPr>
      <w:r w:rsidDel="00000000" w:rsidR="00000000" w:rsidRPr="00000000">
        <w:rPr>
          <w:rtl w:val="0"/>
        </w:rPr>
      </w:r>
    </w:p>
    <w:p w:rsidR="00000000" w:rsidDel="00000000" w:rsidP="00000000" w:rsidRDefault="00000000" w:rsidRPr="00000000" w14:paraId="00000008">
      <w:pPr>
        <w:pStyle w:val="Heading1"/>
        <w:spacing w:line="470" w:lineRule="auto"/>
        <w:ind w:left="0" w:right="366" w:firstLine="0"/>
        <w:jc w:val="center"/>
        <w:rPr/>
      </w:pPr>
      <w:r w:rsidDel="00000000" w:rsidR="00000000" w:rsidRPr="00000000">
        <w:rPr>
          <w:rtl w:val="0"/>
        </w:rPr>
        <w:t xml:space="preserve">SCADENZA: ENTRO LE ORE 24:00 DEL 20° GIORNO DALLA DATA DI PUBBLICAZIONE DEL PRESENTE AVVISO</w:t>
      </w:r>
    </w:p>
    <w:p w:rsidR="00000000" w:rsidDel="00000000" w:rsidP="00000000" w:rsidRDefault="00000000" w:rsidRPr="00000000" w14:paraId="00000009">
      <w:pPr>
        <w:spacing w:before="4" w:lineRule="auto"/>
        <w:ind w:left="5" w:right="366" w:firstLine="0"/>
        <w:jc w:val="center"/>
        <w:rPr>
          <w:b w:val="1"/>
          <w:bCs w:val="1"/>
        </w:rPr>
      </w:pPr>
      <w:r w:rsidDel="00000000" w:rsidR="00000000" w:rsidRPr="00000000">
        <w:rPr>
          <w:b w:val="1"/>
          <w:bCs w:val="1"/>
          <w:rtl w:val="0"/>
        </w:rPr>
        <w:t xml:space="preserve">IL SEGRETARIO GENERALE</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240" w:lineRule="auto"/>
        <w:ind w:left="0" w:right="0" w:firstLine="0"/>
        <w:jc w:val="left"/>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pStyle w:val="Title"/>
        <w:ind w:right="482" w:firstLine="0"/>
        <w:rPr/>
      </w:pPr>
      <w:r w:rsidDel="00000000" w:rsidR="00000000" w:rsidRPr="00000000">
        <w:rPr>
          <w:rtl w:val="0"/>
        </w:rPr>
        <w:t xml:space="preserve">Premesso che con Delibera di Giunta Comunale n. 31 del 31.3.2025 ad oggetto PIANO INTEGRATIVO DELLE ATTIVITA’ ORGANIZZATIVE (P.I.A.O.) successivamente modificato con delibera 73/25 e 105/25 nella sezione relativa alla programmazione del fabbisogno del personale - Triennio 2025/2027 –è stato previsto, tra l’altro, la copertura di n. 1 posto di  funzionario di vigilanza (ex categoria D), a tempo determinato e pieno mediante il conferimento di incarico ai sensi dell’art. 110, co. 1 del D.Lgs. 267/2000, da assegnare al Settore di Vigilanza;</w:t>
      </w:r>
    </w:p>
    <w:p w:rsidR="00000000" w:rsidDel="00000000" w:rsidP="00000000" w:rsidRDefault="00000000" w:rsidRPr="00000000" w14:paraId="0000000C">
      <w:pPr>
        <w:pStyle w:val="Title"/>
        <w:spacing w:before="127" w:line="232" w:lineRule="auto"/>
        <w:rPr/>
      </w:pPr>
      <w:r w:rsidDel="00000000" w:rsidR="00000000" w:rsidRPr="00000000">
        <w:rPr>
          <w:rtl w:val="0"/>
        </w:rPr>
        <w:t xml:space="preserve">Premesso che con Determina n. ….. del  Segretario Generale è stato approvato lo schema di avviso pubblico;</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3921" w:firstLine="0"/>
        <w:jc w:val="righ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Visto l’art. 110, comma 1 del D.Lgs. 267/2000 “Incarichi a contratto”;</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Visto il D.lgs n. 165/2001;</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78"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Visto l’art. 67 bis “Assunzioni a tempo determinato – Procedura di accesso ex art. 110, primo comma TUEL” dell’”Ordinamento degli uffici e servizi – Regolamento n. 2 – Disciplina dei concorsi e delle altre procedure di assunzione”, approvato con Deliberazione di Giunta Comunale n. 126 del 03/08/2015 e modificato con Delibera di Giunta Comunale n. 130 del 22/12/2021;</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6"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Visto il Contratto Collettivo Nazionale di Lavoro relativo al personale del Comparto Funzioni centrali (triennio 2023/2025);</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pStyle w:val="Heading1"/>
        <w:ind w:left="90" w:right="366" w:firstLine="0"/>
        <w:jc w:val="center"/>
        <w:rPr/>
      </w:pPr>
      <w:r w:rsidDel="00000000" w:rsidR="00000000" w:rsidRPr="00000000">
        <w:rPr>
          <w:rtl w:val="0"/>
        </w:rPr>
        <w:t xml:space="preserve">RENDE NOTO</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 w:line="360" w:lineRule="auto"/>
        <w:ind w:left="212" w:right="482"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Che il Comune di Santa Maria la Carità intende procedere alla copertura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 1 posto di Istruttore Direttivo di vigilanza,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ex categoria giuridica D) area dei funzionari, attraverso il conferimento di incarico a contratto, a tempo determinato e pieno ai sensi dell’art. 110, comma 1, D.Lgs n. 267/2000.</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pStyle w:val="Heading1"/>
        <w:ind w:firstLine="212"/>
        <w:rPr/>
      </w:pPr>
      <w:r w:rsidDel="00000000" w:rsidR="00000000" w:rsidRPr="00000000">
        <w:rPr>
          <w:rtl w:val="0"/>
        </w:rPr>
        <w:t xml:space="preserve">ART. 1 REQUISITI GENERALI DI AMMISSIONE.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212"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l’ammissione alla selezione è richiesto il possesso dei requisiti di seguito elencati:</w:t>
      </w:r>
    </w:p>
    <w:p w:rsidR="00000000" w:rsidDel="00000000" w:rsidP="00000000" w:rsidRDefault="00000000" w:rsidRPr="00000000" w14:paraId="0000002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1"/>
        </w:tabs>
        <w:spacing w:after="0" w:before="123"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cittadinanza italiana;</w:t>
      </w:r>
    </w:p>
    <w:p w:rsidR="00000000" w:rsidDel="00000000" w:rsidP="00000000" w:rsidRDefault="00000000" w:rsidRPr="00000000" w14:paraId="0000002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1"/>
        </w:tabs>
        <w:spacing w:after="0" w:before="127"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età non inferiore a 18 e non superiore a 65 anni;</w:t>
      </w:r>
    </w:p>
    <w:p w:rsidR="00000000" w:rsidDel="00000000" w:rsidP="00000000" w:rsidRDefault="00000000" w:rsidRPr="00000000" w14:paraId="0000002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1"/>
        </w:tabs>
        <w:spacing w:after="0" w:before="128"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godimento dei diritti civili e politici;</w:t>
      </w:r>
    </w:p>
    <w:p w:rsidR="00000000" w:rsidDel="00000000" w:rsidP="00000000" w:rsidRDefault="00000000" w:rsidRPr="00000000" w14:paraId="0000002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124" w:line="360" w:lineRule="auto"/>
        <w:ind w:left="932" w:right="484"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idoneità psico-fisica all’attività lavorativa da svolgere. L’Amministrazione si riserva la facoltà di esperire appositi accertamenti al momento dell’assunzione in servizio;</w:t>
      </w:r>
    </w:p>
    <w:p w:rsidR="00000000" w:rsidDel="00000000" w:rsidP="00000000" w:rsidRDefault="00000000" w:rsidRPr="00000000" w14:paraId="0000002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0" w:line="360" w:lineRule="auto"/>
        <w:ind w:left="932" w:right="492"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essere in posizione regolare nei confronti dell’obbligo di leva, per i cittadini italiani soggetti a tale obbligo (nati entro il 31.12.1985);</w:t>
      </w:r>
    </w:p>
    <w:p w:rsidR="00000000" w:rsidDel="00000000" w:rsidP="00000000" w:rsidRDefault="00000000" w:rsidRPr="00000000" w14:paraId="0000002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0" w:line="360" w:lineRule="auto"/>
        <w:ind w:left="932" w:right="48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essere in alcuna delle condizioni previste dalle leggi vigenti come cause ostative per la costituzione del rapporto di lavoro;</w:t>
      </w:r>
    </w:p>
    <w:p w:rsidR="00000000" w:rsidDel="00000000" w:rsidP="00000000" w:rsidRDefault="00000000" w:rsidRPr="00000000" w14:paraId="0000002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0" w:line="360" w:lineRule="auto"/>
        <w:ind w:left="932" w:right="486"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essere stati licenziati, destituiti, dispensati o dichiarati decaduti da precedenti rapporti di lavoro presso pubbliche amministrazioni per giusta causa ovvero per altre cause previste da norme di legge o di Contratto Collettivo Nazionale di Lavoro;</w:t>
      </w:r>
    </w:p>
    <w:p w:rsidR="00000000" w:rsidDel="00000000" w:rsidP="00000000" w:rsidRDefault="00000000" w:rsidRPr="00000000" w14:paraId="0000002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0" w:line="360" w:lineRule="auto"/>
        <w:ind w:left="932" w:right="487"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aver riportato condanne penali, anche non passate in giudicato ( in caso contrario andranno dichiarati quali) né avere procedimenti penali in corso ( in caso contrario andranno dichiarati quali) che ai sensi di legge, salvo l’avvenuta riabilitazione, vietano la costituzione del rapporto di impiego con la Pubblica Amministrazione e non essere stato interdetto o sottoposto a misure che escludono, secondo le leggi vigenti, dalla nomina agli impieghi presso le Pubbliche Amministrazioni;</w:t>
      </w:r>
    </w:p>
    <w:p w:rsidR="00000000" w:rsidDel="00000000" w:rsidP="00000000" w:rsidRDefault="00000000" w:rsidRPr="00000000" w14:paraId="0000002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0" w:line="360" w:lineRule="auto"/>
        <w:ind w:left="932" w:right="491"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trovarsi in alcuna condizione di incompatibilità e di inconferibilità previste dal D.Lgs n. 39/2013, al momento dell’assunzione in servizio;</w:t>
      </w:r>
    </w:p>
    <w:p w:rsidR="00000000" w:rsidDel="00000000" w:rsidP="00000000" w:rsidRDefault="00000000" w:rsidRPr="00000000" w14:paraId="0000002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32"/>
        </w:tabs>
        <w:spacing w:after="0" w:before="0" w:line="360" w:lineRule="auto"/>
        <w:ind w:left="932" w:right="757"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disporre di buone conoscenza dell’uso delle apparecchiature e delle applicazioni informatiche più diffuse.</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pStyle w:val="Heading1"/>
        <w:ind w:left="572" w:firstLine="0"/>
        <w:jc w:val="left"/>
        <w:rPr/>
      </w:pPr>
      <w:r w:rsidDel="00000000" w:rsidR="00000000" w:rsidRPr="00000000">
        <w:rPr>
          <w:rtl w:val="0"/>
        </w:rPr>
        <w:t xml:space="preserve">ART. 2 REQUISITI SPECIFICI DI AMMISSIONE:</w:t>
      </w:r>
    </w:p>
    <w:p w:rsidR="00000000" w:rsidDel="00000000" w:rsidP="00000000" w:rsidRDefault="00000000" w:rsidRPr="00000000" w14:paraId="0000002C">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1292"/>
        </w:tabs>
        <w:spacing w:after="0" w:before="75" w:line="360" w:lineRule="auto"/>
        <w:ind w:left="1292" w:right="487"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Titolo di studio: possesso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Diploma di Laurea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(DL) conseguito secondo l’ordinamento didattico previgente al regolamento di cui al Decreto del Ministero dell’Università e della ricerca scientifica e tecnologica 3 Novembre 1999 n. 509 in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Economia Economia e Commercio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Giurisprudenza, Scienze Politiche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o  diplomi di laurea equipollenti per legge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ovvero delle corrispondenti Lauree specialistiche (LS) di cui all’ordinamento previsto dal D.M. n. 509/1999 ovvero delle corrispondenti Lauree Magistrali (LM) di cui all’ordinamento previsto dal D.M. n. 270/2004 o della Laurea Triennale per le medesime discipline, conseguiti presso una Università o altro istituto universitario statale o legalmente riconosciuto, equiparate ad uno dei diplomi di laurea del vecchio ordinamento. Alla procedura selettiva possono partecipare anche coloro che sono in possesso di titolo di studio conseguito all’estero o di titolo estero conseguito in Italia, riconosciuto equipollente ad una delle lauree sopra indicate ai fini della partecipazione ai pubblici concorsi secondo la vigente normativa; in tal caso si richiede al candidato di allegare lo specifico provvedimento di riconoscimento da parte delle competenti autorità italiane. La dichiarazione del possesso di un diploma di laurea equipollente ad uno di quelli sopra elencati deve riportare anche gli estremi della norma che stabilisce l’equipollenza.</w:t>
      </w:r>
    </w:p>
    <w:p w:rsidR="00000000" w:rsidDel="00000000" w:rsidP="00000000" w:rsidRDefault="00000000" w:rsidRPr="00000000" w14:paraId="0000002D">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1292"/>
        </w:tabs>
        <w:spacing w:after="0" w:before="75" w:line="360" w:lineRule="auto"/>
        <w:ind w:left="1292" w:right="487"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Esperienza di lavoro presso Enti locali in qualità di dipendente funzionario di vigilanza con o senza funzioni di incarico di Elevata Qualificazione ivi compresi gli incarichi ricoperti ex art 110 commi 1 e 2  D. Lgs 267/2000;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 w:line="360" w:lineRule="auto"/>
        <w:ind w:left="1292" w:right="487"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Possesso di adeguata  conoscenza dell’uso di apparecchiature e delle applicazioni informatiche più diffuse  ( quali Windows, applicativi MS Office e/o Open office per elaborazione testi o fogli di calcolo) posta elettronica , internet e di quelle specificatamente connesse al ruolo da ricoprire.</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 w:line="360" w:lineRule="auto"/>
        <w:ind w:left="100" w:right="483"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suddetti generali e specifici requisiti, prescritti per l’ammissione alla selezione, devono essere posseduti alla data di scadenza del termine per la presentazione delle domande e mantenuti per tutta la durata procedimentale fino alla stipulazione del contratto individuale di lavoro.</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572" w:right="483"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L’Amministrazione garantisce pari opportunità tra uomini e donne per l’accesso al lavoro ed il trattamento sul lavoro ai sensi del D.Lgs n. 198/2006 in base a quanto previsto dagli artt. 35 e 37 del D.Lgs n. 165/2001.</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pStyle w:val="Heading1"/>
        <w:spacing w:before="1" w:lineRule="auto"/>
        <w:ind w:firstLine="212"/>
        <w:rPr/>
      </w:pPr>
      <w:r w:rsidDel="00000000" w:rsidR="00000000" w:rsidRPr="00000000">
        <w:rPr>
          <w:rtl w:val="0"/>
        </w:rPr>
        <w:t xml:space="preserve">ART. 3. MODALITA’ E TERMINI DI PRESENTAZIONE DELLE DOMANDE.</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360" w:lineRule="auto"/>
        <w:ind w:left="212" w:right="486"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Coloro che intendono partecipare alla selezione dovranno presentare domanda, entro e non oltre la data di scadenza indicata all’indirizzo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www. inPA.gov.it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,tramite il portale di reclutamento INPA.</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360" w:lineRule="auto"/>
        <w:ind w:left="212" w:right="485"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domanda di ammissione deve contenere l’esatta indicazione della selezione alla quale si intende partecipare e le seguenti dichiarazioni, rese dal candidato ai sensi degli artt. 46 e 47 del testo unico in materia di documentazione amministrativa D.P.R. n. 445/28.12.2000, sotto la propria responsabilità, consapevole delle conseguenze previste, per le ipotesi di dichiarazioni non veritiere, dall’art. 75 e dall’art. 76 del medesimo testo Unico:</w:t>
      </w:r>
    </w:p>
    <w:p w:rsidR="00000000" w:rsidDel="00000000" w:rsidP="00000000" w:rsidRDefault="00000000" w:rsidRPr="00000000" w14:paraId="0000003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0" w:line="352" w:lineRule="auto"/>
        <w:ind w:left="932" w:right="477"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generalità: cognome, nome, luogo e data di nascita, attuale Comune di residenza e indirizzo al quale l’Amministrazione potrà far pervenire le eventuali comunicazioni relative alla selezione, con relativo numero telefonico ed eventuale numero di cellulare, indirizzo di posta elettronica certificata. </w:t>
      </w:r>
    </w:p>
    <w:p w:rsidR="00000000" w:rsidDel="00000000" w:rsidP="00000000" w:rsidRDefault="00000000" w:rsidRPr="00000000" w14:paraId="0000003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1"/>
        </w:tabs>
        <w:spacing w:after="0" w:before="2"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possesso della cittadinanza italiana;</w:t>
      </w:r>
    </w:p>
    <w:p w:rsidR="00000000" w:rsidDel="00000000" w:rsidP="00000000" w:rsidRDefault="00000000" w:rsidRPr="00000000" w14:paraId="0000003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1"/>
        </w:tabs>
        <w:spacing w:after="0" w:before="122"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godimento dei diritti civili e politici;</w:t>
      </w:r>
    </w:p>
    <w:p w:rsidR="00000000" w:rsidDel="00000000" w:rsidP="00000000" w:rsidRDefault="00000000" w:rsidRPr="00000000" w14:paraId="0000003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124" w:line="338" w:lineRule="auto"/>
        <w:ind w:left="932" w:right="49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comune di iscrizione nelle liste elettorali ovvero i motivi della non iscrizione o della cancellazione dalle liste medesime;</w:t>
      </w:r>
    </w:p>
    <w:p w:rsidR="00000000" w:rsidDel="00000000" w:rsidP="00000000" w:rsidRDefault="00000000" w:rsidRPr="00000000" w14:paraId="0000003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1"/>
        </w:tabs>
        <w:spacing w:after="0" w:before="16"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possesso dei requisiti specifici di cui all’art. 2 ( Titolo di studio e iscrizione all’albo);</w:t>
      </w:r>
    </w:p>
    <w:p w:rsidR="00000000" w:rsidDel="00000000" w:rsidP="00000000" w:rsidRDefault="00000000" w:rsidRPr="00000000" w14:paraId="0000003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129" w:line="348" w:lineRule="auto"/>
        <w:ind w:left="932" w:right="485"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essere stati licenziati, destituiti o dichiarati decaduti da precedenti rapporti di lavoro presso pubbliche amministrazioni per giusta causa ovvero per altre cause previste da norme di legge o di Contratto Collettivo Nazionale di Lavoro;</w:t>
      </w:r>
    </w:p>
    <w:p w:rsidR="00000000" w:rsidDel="00000000" w:rsidP="00000000" w:rsidRDefault="00000000" w:rsidRPr="00000000" w14:paraId="0000003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5" w:line="338" w:lineRule="auto"/>
        <w:ind w:left="932" w:right="489"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i cittadini italiani di sesso maschile soggetti all’obbligo di leva, (nati entro il 31.12.1985), di essere in posizione regolare nei confronti di tale obbligo;</w:t>
      </w:r>
    </w:p>
    <w:p w:rsidR="00000000" w:rsidDel="00000000" w:rsidP="00000000" w:rsidRDefault="00000000" w:rsidRPr="00000000" w14:paraId="0000003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1"/>
        </w:tabs>
        <w:spacing w:after="0" w:before="14"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possesso dell’idoneità fisica all’impiego e allo svolgimento delle mansioni proprie dell’incarico di</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 w:line="240" w:lineRule="auto"/>
        <w:ind w:left="932"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responsabile del settore di che trattasi;</w:t>
      </w:r>
    </w:p>
    <w:p w:rsidR="00000000" w:rsidDel="00000000" w:rsidP="00000000" w:rsidRDefault="00000000" w:rsidRPr="00000000" w14:paraId="0000003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192" w:line="338" w:lineRule="auto"/>
        <w:ind w:left="932" w:right="487"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i candidati in possesso delle condizioni previste dalla legge n. 104/92, la necessità di ausili e/o tempi aggiuntivi per l’espletamento dell’eventuale colloquio;</w:t>
      </w:r>
    </w:p>
    <w:p w:rsidR="00000000" w:rsidDel="00000000" w:rsidP="00000000" w:rsidRDefault="00000000" w:rsidRPr="00000000" w14:paraId="0000003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19" w:line="350" w:lineRule="auto"/>
        <w:ind w:left="932" w:right="483"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aver riportato condanne penali, anche non passate in giudicato ( in caso contrario andranno dichiarati quali) né avere procedimenti penali in corso ( in caso contrario andranno dichiarati quali) che ai sensi di legge, salvo l’avvenuta riabilitazione, vietano la costituzione del rapporto di impiego con la Pubblica Amministrazione e non essere stato interdetto o sottoposto a misure che escludono, secondo le leggi vigenti, dalla nomina agli impieghi presso le Pubbliche Amministrazioni;</w:t>
      </w:r>
    </w:p>
    <w:p w:rsidR="00000000" w:rsidDel="00000000" w:rsidP="00000000" w:rsidRDefault="00000000" w:rsidRPr="00000000" w14:paraId="0000004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1" w:line="340" w:lineRule="auto"/>
        <w:ind w:left="932" w:right="488"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non trovarsi in alcuna delle condizioni di incompatibilità e di inconferibilità previste dal D.Lgs. n. 39/2013;</w:t>
      </w:r>
    </w:p>
    <w:p w:rsidR="00000000" w:rsidDel="00000000" w:rsidP="00000000" w:rsidRDefault="00000000" w:rsidRPr="00000000" w14:paraId="0000004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1"/>
        </w:tabs>
        <w:spacing w:after="0" w:before="14" w:line="240" w:lineRule="auto"/>
        <w:ind w:left="931" w:right="0" w:hanging="359"/>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 possedere adeguate conoscenze informatiche;</w:t>
      </w:r>
    </w:p>
    <w:p w:rsidR="00000000" w:rsidDel="00000000" w:rsidP="00000000" w:rsidRDefault="00000000" w:rsidRPr="00000000" w14:paraId="0000004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932"/>
        </w:tabs>
        <w:spacing w:after="0" w:before="124" w:line="338" w:lineRule="auto"/>
        <w:ind w:left="932" w:right="491"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esperienze maturate, se possedute, nell’ambito di servizi tecnici e/o materie professionali afferenti i settori tecnici degli EE.LL..</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360" w:lineRule="auto"/>
        <w:ind w:left="212" w:right="48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Qualora il termine di scadenza coincida con un giorno festivo, esso è differito al 1^ giorno feriale immediatamente successivo.</w:t>
      </w:r>
    </w:p>
    <w:p w:rsidR="00000000" w:rsidDel="00000000" w:rsidP="00000000" w:rsidRDefault="00000000" w:rsidRPr="00000000" w14:paraId="00000044">
      <w:pPr>
        <w:pStyle w:val="Heading2"/>
        <w:spacing w:before="12" w:lineRule="auto"/>
        <w:ind w:firstLine="212"/>
        <w:rPr/>
      </w:pPr>
      <w:r w:rsidDel="00000000" w:rsidR="00000000" w:rsidRPr="00000000">
        <w:rPr>
          <w:rtl w:val="0"/>
        </w:rPr>
        <w:t xml:space="preserve">La domanda di ammissione deve essere compilata e trasmessa mediante i sistemi di identificazione SPID/CIE/CNS e eIDAS eslusivamente attraverso  il portale di reclutamento INPA all’indirizzo  www. inPA.gov.it </w:t>
      </w:r>
    </w:p>
    <w:p w:rsidR="00000000" w:rsidDel="00000000" w:rsidP="00000000" w:rsidRDefault="00000000" w:rsidRPr="00000000" w14:paraId="00000045">
      <w:pPr>
        <w:ind w:left="572" w:firstLine="0"/>
        <w:rPr/>
      </w:pPr>
      <w:r w:rsidDel="00000000" w:rsidR="00000000" w:rsidRPr="00000000">
        <w:rPr>
          <w:rtl w:val="0"/>
        </w:rPr>
      </w:r>
    </w:p>
    <w:p w:rsidR="00000000" w:rsidDel="00000000" w:rsidP="00000000" w:rsidRDefault="00000000" w:rsidRPr="00000000" w14:paraId="00000046">
      <w:pPr>
        <w:ind w:left="572" w:firstLine="0"/>
        <w:rPr>
          <w:b w:val="1"/>
          <w:bCs w:val="1"/>
        </w:rPr>
      </w:pPr>
      <w:r w:rsidDel="00000000" w:rsidR="00000000" w:rsidRPr="00000000">
        <w:rPr>
          <w:rtl w:val="0"/>
        </w:rPr>
        <w:t xml:space="preserve">Alla domanda dovranno essere allegati</w:t>
      </w:r>
      <w:r w:rsidDel="00000000" w:rsidR="00000000" w:rsidRPr="00000000">
        <w:rPr>
          <w:b w:val="1"/>
          <w:bCs w:val="1"/>
          <w:rtl w:val="0"/>
        </w:rPr>
        <w:t xml:space="preserve">:</w:t>
      </w:r>
    </w:p>
    <w:p w:rsidR="00000000" w:rsidDel="00000000" w:rsidP="00000000" w:rsidRDefault="00000000" w:rsidRPr="00000000" w14:paraId="0000004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052"/>
        </w:tabs>
        <w:spacing w:after="0" w:before="119" w:line="360" w:lineRule="auto"/>
        <w:ind w:left="1052" w:right="485" w:hanging="48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curriculum formativo e professionale redatto in formato europeo, autocertificato ai sensi del D.P.R. 445/2000, debitamente datato e firmato. Esso dovrà indicare con estrema precisione tutti i titoli posseduti dal concorrente e contenere puntuale descrizione delle esperienze professionali possedute;</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051"/>
        </w:tabs>
        <w:spacing w:after="0" w:before="2" w:line="360" w:lineRule="auto"/>
        <w:ind w:left="572" w:right="49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L’Amministrazione si riserva la facoltà di revocare la procedura per ragioni di pubblico interesse o a seguito di sopravvenuti vincoli legislativi e/o finanziari, ovvero a seguito della variazione delle esigenze organizzative dell’Ente.</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572" w:right="483"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Qualora le dichiarazioni contenute nella domanda risultino non veritiere, non ne sarà consentita la rettifica ed il dichiarante decadrà dai benefici eventualmente conseguenti al provvedimento emanato sulla base della dichiarazione non veritiera; si procederà, inoltre, a denunciare penalmente il dichiarante ai sensi degli artt. 496 e 640 del Codice Penale e dell’art. 76 Testo Unico in materia di documentazione amministrativa D.P.R. n. 445/2000.</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72" w:right="48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L’Amministrazione si riserva, altresì, di avvalersi della rosa di candidati che sarà stilata all’esito della procedura in oggetto eventualmente per ulteriori incarichi a contratto che si programmi in futuro di ricoprire, per profili professionali analoghi.</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pStyle w:val="Heading1"/>
        <w:ind w:left="572" w:firstLine="0"/>
        <w:rPr/>
      </w:pPr>
      <w:r w:rsidDel="00000000" w:rsidR="00000000" w:rsidRPr="00000000">
        <w:rPr>
          <w:rtl w:val="0"/>
        </w:rPr>
        <w:t xml:space="preserve">ART. 4 AMMISSIONE ED ESCLUSIONE DEI CANDIDATI ALLA SELEZIONE.</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360" w:lineRule="auto"/>
        <w:ind w:left="572" w:right="483"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L’Amministrazione provvederà ad ammettere alla procedura i candidati che abbiano presentato domanda, secondo le modalità ed entro i termini previsti dal presente avviso, e che risultino in possesso di tutti i requisiti richiesti sulla base delle dichiarazioni rese nel contesto della domanda. Tutti i requisiti richiesti per l’ammissione devono essere posseduti alla data di scadenza del termine per la presentazione della domanda di ammissione alla procedura e devono permanere al momento dell’assunzione.</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572"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candidati sono ammessi alla selezione con riserva di accertamento dei requisiti.</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 w:line="360" w:lineRule="auto"/>
        <w:ind w:left="572" w:right="37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L’amministrazione si riserva di disporre in ogni momento, con motivato provvedimento, l’esclusione dalla procedura per difetto dei requisiti ovvero per mancata comunicazione degli stessi.</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72"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falsità delle dichiarazioni rese al fine dell’ammissione alla selezione comporterà la decadenza dell’interessato dall’assunzione che fosse eventualmente disposta.</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72" w:right="492"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rosa dei candidati ammessi al colloquio sarà pubblicata sull’Albo pretorio, sul sito internet dell’Ente nella apposita sezione – Bandi di concorso e sul portale INPA.</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pStyle w:val="Heading1"/>
        <w:ind w:left="572" w:firstLine="0"/>
        <w:rPr/>
      </w:pPr>
      <w:r w:rsidDel="00000000" w:rsidR="00000000" w:rsidRPr="00000000">
        <w:rPr>
          <w:rtl w:val="0"/>
        </w:rPr>
        <w:t xml:space="preserve">ART. 5 FUNZIONI E CARATTERISTICHE DEL PROFILO OGGETTO DI VALUTAZIONE.</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572"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profilo professionale è caratterizzato da:</w:t>
      </w:r>
    </w:p>
    <w:p w:rsidR="00000000" w:rsidDel="00000000" w:rsidP="00000000" w:rsidRDefault="00000000" w:rsidRPr="00000000" w14:paraId="0000005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291"/>
        </w:tabs>
        <w:spacing w:after="0" w:before="129" w:line="240" w:lineRule="auto"/>
        <w:ind w:left="1291" w:right="0" w:hanging="359.00000000000006"/>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elevate conoscenze plurispecialistiche;</w:t>
      </w:r>
    </w:p>
    <w:p w:rsidR="00000000" w:rsidDel="00000000" w:rsidP="00000000" w:rsidRDefault="00000000" w:rsidRPr="00000000" w14:paraId="0000005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292"/>
        </w:tabs>
        <w:spacing w:after="0" w:before="124" w:line="360" w:lineRule="auto"/>
        <w:ind w:left="1292" w:right="482"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elevata capacità di risoluzione dei problemi da affrontare, basata su elevata ampiezza della soluzione possibili;</w:t>
      </w:r>
    </w:p>
    <w:p w:rsidR="00000000" w:rsidDel="00000000" w:rsidP="00000000" w:rsidRDefault="00000000" w:rsidRPr="00000000" w14:paraId="0000005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292"/>
        </w:tabs>
        <w:spacing w:after="0" w:before="1" w:line="360" w:lineRule="auto"/>
        <w:ind w:left="1292" w:right="485"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capacità di improntare relazioni organizzative interne di natura complessa, gestite anche tra unità organizzative diverse da quella di appartenenza, relazione esterne (con altre istituzioni) di tipo diretto con rappresentanza istituzionale. Relazioni con gli utenti di natura diretta anche complessa, e negoziali.</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212" w:right="475"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All’istruttore direttivo finanziario potrà essere assegnata la posizione di Elevata Qualificazione con coordinamento delle diverse risorse umane, unità operative, predisposizione di atti complessi, redazione di studi, ricerche, indagini di natura tecnica- giuridico amministrativa, ed elaborazione di proposte, progetti e programmi nell’ambito delle mansioni di competenza.</w:t>
      </w:r>
    </w:p>
    <w:p w:rsidR="00000000" w:rsidDel="00000000" w:rsidP="00000000" w:rsidRDefault="00000000" w:rsidRPr="00000000" w14:paraId="00000059">
      <w:pPr>
        <w:pStyle w:val="Heading1"/>
        <w:spacing w:before="77" w:lineRule="auto"/>
        <w:ind w:firstLine="212"/>
        <w:rPr/>
      </w:pPr>
      <w:r w:rsidDel="00000000" w:rsidR="00000000" w:rsidRPr="00000000">
        <w:rPr>
          <w:rtl w:val="0"/>
        </w:rPr>
        <w:t xml:space="preserve">ART. 6 MODALITA’ DI SELEZIONE.</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360" w:lineRule="auto"/>
        <w:ind w:left="212" w:right="492" w:firstLine="0"/>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candidati in possesso di tutti i requisiti sopra indicati sono ammessi alla procedura e partecipano alla fase successiva della selezione nel corso della quale saranno esaminati sulla base dei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curricula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 colloquio.</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5"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Nel curriculum</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debitamente sottoscritto, il candidato deve indicare in modo esplicito ed articolato, la specializzazione professionale/culturale/scientifica posseduta, desumibile anche dalla formazione universitaria e post universitaria, da pubblicazioni e da concrete esperienze lavorative, con l’esatta precisazione dei relativi periodi e delle funzioni svolte.</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5"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Nel curriculum devono essere evidenziate le passate esperienze di lavoro presso Enti Locali in qualità di dipendenti funzionari finanziari, con o senza funzioni di incarico di elevata qualificazione , ivi compresi gli incarichi ricoperti ex art. 110 commi 1 e 2 D.Lgs n. 267/2000,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4"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Il colloquio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è finalizzato ad accertare in capo ai candidati il possesso di specifica professionalità e preparazione culturale nelle materie di seguito indicate e le abilità alla risoluzione dei problemi connessi al ruolo da ricoprire.</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Le materia oggetto del colloquio finalizzate alla verifica della preparazione culturale sono le seguenti:</w:t>
      </w:r>
    </w:p>
    <w:p w:rsidR="00000000" w:rsidDel="00000000" w:rsidP="00000000" w:rsidRDefault="00000000" w:rsidRPr="00000000" w14:paraId="0000005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919"/>
        </w:tabs>
        <w:spacing w:after="0" w:before="125" w:line="240" w:lineRule="auto"/>
        <w:ind w:left="919" w:right="0" w:hanging="347"/>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Nozioni di Diritto Amministrativo e Ordinamento degli Enti Locali;</w:t>
      </w:r>
    </w:p>
    <w:p w:rsidR="00000000" w:rsidDel="00000000" w:rsidP="00000000" w:rsidRDefault="00000000" w:rsidRPr="00000000" w14:paraId="0000006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919"/>
        </w:tabs>
        <w:spacing w:after="0" w:before="125" w:line="240" w:lineRule="auto"/>
        <w:ind w:left="919" w:right="0" w:hanging="347"/>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Legge Quadro sull’ordinamento della Polizia Locale;</w:t>
      </w:r>
    </w:p>
    <w:p w:rsidR="00000000" w:rsidDel="00000000" w:rsidP="00000000" w:rsidRDefault="00000000" w:rsidRPr="00000000" w14:paraId="0000006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919"/>
        </w:tabs>
        <w:spacing w:after="0" w:before="125" w:line="240" w:lineRule="auto"/>
        <w:ind w:left="919" w:right="0" w:hanging="347"/>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Codice della Strada</w:t>
      </w:r>
    </w:p>
    <w:p w:rsidR="00000000" w:rsidDel="00000000" w:rsidP="00000000" w:rsidRDefault="00000000" w:rsidRPr="00000000" w14:paraId="0000006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932"/>
          <w:tab w:val="left" w:leader="none" w:pos="975"/>
        </w:tabs>
        <w:spacing w:after="0" w:before="127" w:line="360" w:lineRule="auto"/>
        <w:ind w:left="932" w:right="49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ab/>
        <w:t xml:space="preserve">Normativa in materia  di procedimento amministrativo, normativa in materia di prevenzione della corruzione;</w:t>
      </w:r>
    </w:p>
    <w:p w:rsidR="00000000" w:rsidDel="00000000" w:rsidP="00000000" w:rsidRDefault="00000000" w:rsidRPr="00000000" w14:paraId="0000006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932"/>
          <w:tab w:val="left" w:leader="none" w:pos="975"/>
        </w:tabs>
        <w:spacing w:after="0" w:before="127" w:line="360" w:lineRule="auto"/>
        <w:ind w:left="932" w:right="490" w:hanging="360"/>
        <w:jc w:val="both"/>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Nozioni in materia di protezione civile, TULPS, L 121/81, sicurezza urbana, infortunistica stradale, polizia commerciale, edilizia amministrativa e ambientale;</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L’esame dei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curricula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i colloqui saranno effettuati da un’apposita Commissione, presieduta come da nomina e composta da esperti nelle materia oggetto di verifica nonché in organizzazione del lavoro e/o in psicologia del lavoro e/o in gestione delle risorse e/o nelle materie professionali afferenti al settore di assegnazione. Un componente avrà anche le funzioni di segretario. La Commissione sarà nominata successivamente alla scadenza del termine del presente avviso. Alla Commissione compete formulare dei giudizi sui candidati esaminati con riferimento alla preparazione sulle materia indicate, alla competenza e alla esperienza posseduti secondo le previsioni della vigente normativa in materia.</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9"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 termine dei colloqui la Commissione individua una rosa di candidati ritenuti idonei allo svolgimento delle funzioni, sottoponendola al Sindaco il quale provvederà alla scelta anche dando corso ad un eventuale colloquio.</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212" w:right="49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rosa dei candidati ammessi al successivo colloquio è pubblicata sull’Albo pretorio, sul sito istituzionale dell’Ente nell’apposita sezione, sul portale INPA</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valutazione del successivo colloquio si baserà sulla motivazione del candidato a ricoprire l’incarico, alla preparazione posseduta, alla competenza, capacità gestionale, organizzativa e professionale del candidato in relazione alla posizione da ricoprire.</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 w:line="360" w:lineRule="auto"/>
        <w:ind w:left="212" w:right="49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candidati devono presentarsi al colloquio nel luogo, nel giorno e nell’ora indicati nell’invito, muniti di un valido documento di riconoscimento. La mancata presentazione al colloquio equivale a rinuncia alla selezione.</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360" w:lineRule="auto"/>
        <w:ind w:left="212" w:right="488"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 conclusione dei colloqui individuali il Sindaco procederà, con atto motivato, alla nomina del soggetto cui conferire l’incarico in oggetto.</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8"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caso di rinuncia o di recesso del candidato prescelto, il Sindaco può nominare un altro candidato in possesso dei requisiti predetti, o provvedere ad avviare altra selezione.</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6"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presente procedimento è finalizzato unicamente alla valutazione di idoneità all’incarico e all’individuazione della potenziale parte contraente legittimata alla stipulazione del contratto individuale di lavoro subordinato a tempo determinato, previa determinazione di impegno spesa del responsabile del servizio personale e non dà, pertanto, luogo alla formazione di alcuna graduatoria di merito. Solo nel caso in cui verrà individuata la professionalità adeguata a ricoprire il profilo di che trattasi, il Sindaco provvederà alla nomina e al conferimento dell’incarico con proprio atto.</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93"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conferimento dell’incarico avviene nel rispetto delle disposizioni previste in materia di inconferibilità e incompatibilità.</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pStyle w:val="Heading1"/>
        <w:ind w:firstLine="212"/>
        <w:rPr/>
      </w:pPr>
      <w:r w:rsidDel="00000000" w:rsidR="00000000" w:rsidRPr="00000000">
        <w:rPr>
          <w:rtl w:val="0"/>
        </w:rPr>
        <w:t xml:space="preserve">ART. 7 DURATA DELL’INCARICO E TRATTAMENTO ECONOMICO.</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 w:line="360" w:lineRule="auto"/>
        <w:ind w:left="212" w:right="478"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durata dell’incarico è triennale ma resta subordinato all’ adozione della programmazione del fabbisogno del personale a tempo determinato ed alla relativa copertura finanziaria.Il Comune potra’ risolvere il contratto nel caso non permangano le esigenze organizzative che hanno giustificato il ricorso a tale incarico a contratto.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trattamento economico, equivalente a quello previsto dai vigenti contratti collettivi nazionali e decentrati per il personale degli enti locali dell’Area dei Funzionari ex categoria D, L’incarico potrà essere revocato in caso di anticipata scadenza del mandato del Sindaco, per risultati inadeguati, per sopravvenienza di cause di incompatibilità, nonché nelle ipotesi previste dall’art. 110, comma 4, del D.Lgs n. 267/2000 e ss.mm.ii.</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9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contratto a tempo determinato è risolto di diritto nel caso in cui l’ente dichiari il dissesto o venga a trovarsi nelle situazioni strutturalmente deficitarie.</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 w:line="360" w:lineRule="auto"/>
        <w:ind w:left="212" w:right="485"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All’incaricato potrà essere corrisposta altresì, una retribuzione di posizione, oneri riflessi e IRAP se dovuti, da corrispondersi mensilmente qualora il Sindaco si avvalga della facoltà di conferire l’incarico di Elevata Qualificazione. Il trattamento economico è soggetto alle ritenute di legge.</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pStyle w:val="Heading1"/>
        <w:spacing w:before="1" w:lineRule="auto"/>
        <w:ind w:firstLine="212"/>
        <w:jc w:val="left"/>
        <w:rPr/>
      </w:pPr>
      <w:r w:rsidDel="00000000" w:rsidR="00000000" w:rsidRPr="00000000">
        <w:rPr>
          <w:rtl w:val="0"/>
        </w:rPr>
        <w:t xml:space="preserve">ART. 8 COMUNICAZIONI AI CANDIDATI.</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360" w:lineRule="auto"/>
        <w:ind w:left="212" w:right="481"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Le comunicazioni relative alla procedura selettiva sono pubblicate sul sito istituzionale del Comune di Santa Maria La Carità ( </w:t>
      </w:r>
      <w:hyperlink r:id="rId7">
        <w:r w:rsidDel="00000000" w:rsidR="00000000" w:rsidRPr="00000000">
          <w:rPr>
            <w:rFonts w:ascii="Times New Roman" w:cs="Times New Roman" w:eastAsia="Times New Roman" w:hAnsi="Times New Roman"/>
            <w:b w:val="0"/>
            <w:bCs w:val="0"/>
            <w:i w:val="0"/>
            <w:iCs w:val="0"/>
            <w:smallCaps w:val="0"/>
            <w:strike w:val="0"/>
            <w:color w:val="0000ff"/>
            <w:sz w:val="22"/>
            <w:szCs w:val="22"/>
            <w:u w:val="single"/>
            <w:shd w:fill="auto" w:val="clear"/>
            <w:vertAlign w:val="baseline"/>
            <w:rtl w:val="0"/>
          </w:rPr>
          <w:t xml:space="preserve">www.comune.santamarialacarita.na.it</w:t>
        </w:r>
      </w:hyperlink>
      <w:r w:rsidDel="00000000" w:rsidR="00000000" w:rsidRPr="00000000">
        <w:rPr>
          <w:rFonts w:ascii="Times New Roman" w:cs="Times New Roman" w:eastAsia="Times New Roman" w:hAnsi="Times New Roman"/>
          <w:b w:val="0"/>
          <w:bCs w:val="0"/>
          <w:i w:val="0"/>
          <w:iCs w:val="0"/>
          <w:smallCaps w:val="0"/>
          <w:strike w:val="0"/>
          <w:color w:val="0000ff"/>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e/o mediante posta elettronica certificata se indicata dai candidati,  nella sezione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Amministrazione Trasparente –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Sottosezione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Bandi di concorso-e sul portale INPA.</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212" w:right="49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pubblicazione sul sito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web sul portale INPA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ha valore di notifica a tutti gli effetti delle comunicazioni ai candidati, ai quali non sarà inviato alcun ulteriore avviso circa:</w:t>
      </w:r>
    </w:p>
    <w:p w:rsidR="00000000" w:rsidDel="00000000" w:rsidP="00000000" w:rsidRDefault="00000000" w:rsidRPr="00000000" w14:paraId="0000007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052"/>
        </w:tabs>
        <w:spacing w:after="0" w:before="0" w:line="250" w:lineRule="auto"/>
        <w:ind w:left="1052" w:right="0" w:hanging="480"/>
        <w:jc w:val="left"/>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l’ammissione alla selezione;</w:t>
      </w:r>
    </w:p>
    <w:p w:rsidR="00000000" w:rsidDel="00000000" w:rsidP="00000000" w:rsidRDefault="00000000" w:rsidRPr="00000000" w14:paraId="0000007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052"/>
        </w:tabs>
        <w:spacing w:after="0" w:before="127" w:line="240" w:lineRule="auto"/>
        <w:ind w:left="1052" w:right="0" w:hanging="480"/>
        <w:jc w:val="left"/>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convocazione ai colloqui, data, sede e orario di svolgimento degli stessi;</w:t>
      </w:r>
    </w:p>
    <w:p w:rsidR="00000000" w:rsidDel="00000000" w:rsidP="00000000" w:rsidRDefault="00000000" w:rsidRPr="00000000" w14:paraId="0000007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052"/>
        </w:tabs>
        <w:spacing w:after="0" w:before="123" w:line="240" w:lineRule="auto"/>
        <w:ind w:left="1052" w:right="0" w:hanging="480"/>
        <w:jc w:val="left"/>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l’esito dei colloqui.</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C">
      <w:pPr>
        <w:pStyle w:val="Heading1"/>
        <w:ind w:firstLine="212"/>
        <w:jc w:val="left"/>
        <w:rPr/>
      </w:pPr>
      <w:r w:rsidDel="00000000" w:rsidR="00000000" w:rsidRPr="00000000">
        <w:rPr>
          <w:rtl w:val="0"/>
        </w:rPr>
        <w:t xml:space="preserve">ART. 9 ASSUNZIONE</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 w:line="360" w:lineRule="auto"/>
        <w:ind w:left="212" w:right="49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candidato favorevolmente selezionato sarà invitato, contestualmente alla comunicazione dell’assunzione, a far pervenire all’Amministrazione, nel termine richiestogli, la documentazione relative ai requisiti e/o titoli dichiarati nella domanda di partecipazione e nel curriculum, pena la decadenza dal diritto all’assunzione.</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360" w:lineRule="auto"/>
        <w:ind w:left="212" w:right="486"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Qualora il soggetto da assumere non prenda servizio, senza giustificato motivo, entro il termine stabilito, decadrà dal diritto di assunzione.</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4"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stipulazione del contratto individuale di lavoro comporta l’accettazione piena, da parte del candidato, di quanto previsto dallo Statuto e dai Regolamenti dell’Ente.</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9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presente avviso non fa sorgere a favore dei partecipanti alcun diritto all’assunzione presso il Comune di Santa Maria La Carità che si riserva, a suo insindacabile giudizio, di non dare seguito alla medesima, anche in riferimento all’applicazione di norme o interpretazioni delle stesse.</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pStyle w:val="Heading1"/>
        <w:ind w:firstLine="212"/>
        <w:jc w:val="left"/>
        <w:rPr/>
      </w:pPr>
      <w:r w:rsidDel="00000000" w:rsidR="00000000" w:rsidRPr="00000000">
        <w:rPr>
          <w:rtl w:val="0"/>
        </w:rPr>
        <w:t xml:space="preserve">ART. 10 TRATTAMENTO DEI DATI PERSONALI</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 w:line="360" w:lineRule="auto"/>
        <w:ind w:left="212" w:right="48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dati personali trasmessi dai candidati con le domande di partecipazione saranno trattati per le finalità di gestione della procedura selettiva e dell’eventuale procedimento di assunzione in servizio, nel rispetto dei principi del Codice in materia di protezione dei dati personali (D.Lgs n. 196 del 30.06.2003), garantendo i diritti di cui all’art. 7 del Decreto stesso. Le operazioni di trattamento dei dati, nonché la loro comunicazione e diffusione avvengono sia manualmente, che con l’ausilio di strumenti elettronici, secondo logiche correlate alle finalità sopra indicate.</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212" w:right="49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conferimento dei dati è obbligatorio ai fini della valutazione dei requisiti di partecipazione, pena l’esclusione.</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 w:line="360" w:lineRule="auto"/>
        <w:ind w:left="212" w:right="489"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dati saranno comunicati al personale del Comune di Santa Maria la Carità coinvolto nel procedimento, nonché ai membri della Commissione Giudicatrice. Titolare del trattamento è l’Amministrazione Comunale di Santa Maria La Carità, con sede in Piazzale SS Giovanni Paolo II.</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360" w:lineRule="auto"/>
        <w:ind w:left="212" w:right="491"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L’Amministrazione si impegna a rispettare il carattere riservato delle informazioni ed a trattare tutti i dati solo per le finalità connesse e strumentali alla procedura selettiva e all’eventuale stipula e gestione del contratto di lavoro.</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pStyle w:val="Heading1"/>
        <w:ind w:firstLine="212"/>
        <w:rPr/>
      </w:pPr>
      <w:r w:rsidDel="00000000" w:rsidR="00000000" w:rsidRPr="00000000">
        <w:rPr>
          <w:rtl w:val="0"/>
        </w:rPr>
        <w:t xml:space="preserve">ART. 11 NORME FINALI</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360" w:lineRule="auto"/>
        <w:ind w:left="212" w:right="497"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quanto non stabilito nel presente avviso di selezione si fa rinvio alle vigenti disposizioni di legge regolanti l’accesso ai pubblici impieghi.</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eventuali ulteriori informazioni e chiarimenti sul presente avviso è possibile contattare il Segretario Generale al seguente recapito di posta elettronica: </w:t>
      </w:r>
      <w:r w:rsidDel="00000000" w:rsidR="00000000" w:rsidRPr="00000000">
        <w:rPr>
          <w:rFonts w:ascii="Times New Roman" w:cs="Times New Roman" w:eastAsia="Times New Roman" w:hAnsi="Times New Roman"/>
          <w:b w:val="0"/>
          <w:bCs w:val="0"/>
          <w:i w:val="0"/>
          <w:iCs w:val="0"/>
          <w:smallCaps w:val="0"/>
          <w:strike w:val="0"/>
          <w:color w:val="0000ff"/>
          <w:sz w:val="22"/>
          <w:szCs w:val="22"/>
          <w:u w:val="single"/>
          <w:shd w:fill="auto" w:val="clear"/>
          <w:vertAlign w:val="baseline"/>
          <w:rtl w:val="0"/>
        </w:rPr>
        <w:t xml:space="preserve">protocollo.santamarialacarita@asmepec.it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212" w:right="480" w:firstLine="0"/>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presente avviso viene pubblicato sul portale INPA, all’Albo Pretorio on-line del Comune di Santa Maria la Carità, sul sito web del Comune di Santa Maria La Carità (</w:t>
      </w:r>
      <w:r w:rsidDel="00000000" w:rsidR="00000000" w:rsidRPr="00000000">
        <w:rPr>
          <w:rFonts w:ascii="Times New Roman" w:cs="Times New Roman" w:eastAsia="Times New Roman" w:hAnsi="Times New Roman"/>
          <w:b w:val="0"/>
          <w:bCs w:val="0"/>
          <w:i w:val="0"/>
          <w:iCs w:val="0"/>
          <w:smallCaps w:val="0"/>
          <w:strike w:val="0"/>
          <w:color w:val="0000ff"/>
          <w:sz w:val="22"/>
          <w:szCs w:val="22"/>
          <w:u w:val="none"/>
          <w:shd w:fill="auto" w:val="clear"/>
          <w:vertAlign w:val="baseline"/>
          <w:rtl w:val="0"/>
        </w:rPr>
        <w:t xml:space="preserve">www.comune.santamarialacarita.na.it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sezione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Amministrazione Trasparente –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Sottosezione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Bandi di concorso.</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3198495</wp:posOffset>
                </wp:positionH>
                <wp:positionV relativeFrom="paragraph">
                  <wp:posOffset>384810</wp:posOffset>
                </wp:positionV>
                <wp:extent cx="2324100" cy="12700"/>
                <wp:effectExtent b="6350" l="0" r="0" t="0"/>
                <wp:wrapNone/>
                <wp:docPr id="1" name=""/>
                <a:graphic>
                  <a:graphicData uri="http://schemas.microsoft.com/office/word/2010/wordprocessingGroup">
                    <wpg:wgp>
                      <wpg:cNvGrpSpPr/>
                      <wpg:grpSpPr>
                        <a:xfrm>
                          <a:off x="0" y="0"/>
                          <a:ext cx="2324100" cy="12700"/>
                          <a:chOff x="0" y="0"/>
                          <a:chExt cx="2324607" cy="12445"/>
                        </a:xfrm>
                      </wpg:grpSpPr>
                      <wps:wsp>
                        <wps:cNvSpPr/>
                        <wps:cNvPr id="8" name="Graphic 4"/>
                        <wps:spPr>
                          <a:xfrm>
                            <a:off x="0" y="6095"/>
                            <a:ext cx="47625" cy="6350"/>
                          </a:xfrm>
                          <a:custGeom>
                            <a:avLst/>
                            <a:gdLst/>
                            <a:ahLst/>
                            <a:cxnLst/>
                            <a:rect b="b" l="l" r="r" t="t"/>
                            <a:pathLst>
                              <a:path h="6350" w="47625">
                                <a:moveTo>
                                  <a:pt x="47243" y="6096"/>
                                </a:moveTo>
                                <a:lnTo>
                                  <a:pt x="0" y="6096"/>
                                </a:lnTo>
                                <a:lnTo>
                                  <a:pt x="0" y="0"/>
                                </a:lnTo>
                                <a:lnTo>
                                  <a:pt x="47243" y="0"/>
                                </a:lnTo>
                                <a:lnTo>
                                  <a:pt x="47243" y="6096"/>
                                </a:lnTo>
                                <a:close/>
                              </a:path>
                            </a:pathLst>
                          </a:custGeom>
                          <a:solidFill>
                            <a:srgbClr val="000000"/>
                          </a:solidFill>
                        </wps:spPr>
                        <wps:bodyPr bIns="0" rtlCol="0" lIns="0" rIns="0" wrap="square" tIns="0">
                          <a:prstTxWarp prst="textNoShape">
                            <a:avLst/>
                          </a:prstTxWarp>
                          <a:noAutofit/>
                        </wps:bodyPr>
                      </wps:wsp>
                      <wps:wsp>
                        <wps:cNvSpPr/>
                        <wps:cNvPr id="9" name="Graphic 5"/>
                        <wps:spPr>
                          <a:xfrm>
                            <a:off x="48767" y="0"/>
                            <a:ext cx="2275840" cy="6350"/>
                          </a:xfrm>
                          <a:custGeom>
                            <a:avLst/>
                            <a:gdLst/>
                            <a:ahLst/>
                            <a:cxnLst/>
                            <a:rect b="b" l="l" r="r" t="t"/>
                            <a:pathLst>
                              <a:path h="6350" w="2275840">
                                <a:moveTo>
                                  <a:pt x="2275332" y="6095"/>
                                </a:moveTo>
                                <a:lnTo>
                                  <a:pt x="0" y="6095"/>
                                </a:lnTo>
                                <a:lnTo>
                                  <a:pt x="0" y="0"/>
                                </a:lnTo>
                                <a:lnTo>
                                  <a:pt x="2275332" y="0"/>
                                </a:lnTo>
                                <a:lnTo>
                                  <a:pt x="2275332" y="6095"/>
                                </a:lnTo>
                                <a:close/>
                              </a:path>
                            </a:pathLst>
                          </a:custGeom>
                          <a:solidFill>
                            <a:srgbClr val="0000FF"/>
                          </a:solidFill>
                        </wps:spPr>
                        <wps:bodyPr bIns="0" rtlCol="0" lIns="0" rIns="0" wrap="square" tIns="0">
                          <a:prstTxWarp prst="textNoShape">
                            <a:avLst/>
                          </a:prstTxWarp>
                          <a:noAutofit/>
                        </wps:bodyPr>
                      </wps:wsp>
                    </wpg:wgp>
                  </a:graphicData>
                </a:graphic>
              </wp:anchor>
            </w:drawing>
          </mc:Choice>
          <mc:Fallback>
            <w:drawing>
              <wp:anchor allowOverlap="1" behindDoc="0" distB="0" distT="0" distL="0" distR="0" hidden="0" layoutInCell="1" locked="0" relativeHeight="0" simplePos="0">
                <wp:simplePos x="0" y="0"/>
                <wp:positionH relativeFrom="column">
                  <wp:posOffset>3198495</wp:posOffset>
                </wp:positionH>
                <wp:positionV relativeFrom="paragraph">
                  <wp:posOffset>384810</wp:posOffset>
                </wp:positionV>
                <wp:extent cx="2324100" cy="19050"/>
                <wp:effectExtent b="0" l="0" r="0" t="0"/>
                <wp:wrapNone/>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324100" cy="19050"/>
                        </a:xfrm>
                        <a:prstGeom prst="rect"/>
                        <a:ln/>
                      </pic:spPr>
                    </pic:pic>
                  </a:graphicData>
                </a:graphic>
              </wp:anchor>
            </w:drawing>
          </mc:Fallback>
        </mc:AlternateContent>
      </w:r>
    </w:p>
    <w:p w:rsidR="00000000" w:rsidDel="00000000" w:rsidP="00000000" w:rsidRDefault="00000000" w:rsidRPr="00000000" w14:paraId="0000008C">
      <w:pPr>
        <w:ind w:left="212" w:firstLine="0"/>
        <w:jc w:val="both"/>
        <w:rPr>
          <w:i w:val="1"/>
          <w:iCs w:val="1"/>
        </w:rPr>
      </w:pPr>
      <w:r w:rsidDel="00000000" w:rsidR="00000000" w:rsidRPr="00000000">
        <w:rPr>
          <w:rtl w:val="0"/>
        </w:rPr>
      </w:r>
    </w:p>
    <w:p w:rsidR="00000000" w:rsidDel="00000000" w:rsidP="00000000" w:rsidRDefault="00000000" w:rsidRPr="00000000" w14:paraId="0000008D">
      <w:pPr>
        <w:ind w:left="212" w:firstLine="0"/>
        <w:jc w:val="both"/>
        <w:rPr>
          <w:i w:val="1"/>
          <w:iCs w:val="1"/>
        </w:rPr>
      </w:pPr>
      <w:r w:rsidDel="00000000" w:rsidR="00000000" w:rsidRPr="00000000">
        <w:rPr>
          <w:i w:val="1"/>
          <w:iCs w:val="1"/>
          <w:rtl w:val="0"/>
        </w:rPr>
        <w:t xml:space="preserve">Santa Maria la Carità, lì </w:t>
      </w:r>
    </w:p>
    <w:sectPr>
      <w:footerReference r:id="rId9" w:type="default"/>
      <w:pgSz w:h="16840" w:w="11910" w:orient="portrait"/>
      <w:pgMar w:bottom="1160" w:top="1300" w:left="920" w:right="640" w:header="0" w:footer="97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3120135</wp:posOffset>
              </wp:positionH>
              <wp:positionV relativeFrom="paragraph">
                <wp:posOffset>0</wp:posOffset>
              </wp:positionV>
              <wp:extent cx="191770" cy="165735"/>
              <wp:effectExtent b="0" l="0" r="0" t="0"/>
              <wp:wrapNone/>
              <wp:docPr id="2" name=""/>
              <a:graphic>
                <a:graphicData uri="http://schemas.microsoft.com/office/word/2010/wordprocessingShape">
                  <wps:wsp>
                    <wps:cNvSpPr txBox="1">
                      <a:spLocks/>
                    </wps:cNvSpPr>
                    <wps:spPr>
                      <a:xfrm>
                        <a:off x="0" y="0"/>
                        <a:ext cx="191770" cy="165735"/>
                      </a:xfrm>
                      <a:prstGeom prst="rect">
                        <a:avLst/>
                      </a:prstGeom>
                    </wps:spPr>
                    <wps:txbx>
                      <w:txbxContent>
                        <w:p w:rsidR="001E796F" w:rsidDel="00000000" w:rsidP="00000000" w:rsidRDefault="00CA3BCF" w:rsidRPr="00000000">
                          <w:pPr>
                            <w:spacing w:before="10"/>
                            <w:ind w:left="20"/>
                            <w:rPr>
                              <w:sz w:val="20"/>
                            </w:rPr>
                          </w:pPr>
                          <w:r w:rsidDel="00000000" w:rsidR="00000000" w:rsidRPr="00000000">
                            <w:rPr>
                              <w:spacing w:val="-5"/>
                              <w:sz w:val="20"/>
                            </w:rPr>
                            <w:t>1</w:t>
                          </w:r>
                          <w:r w:rsidDel="00000000" w:rsidR="00000000" w:rsidRPr="00000000">
                            <w:rPr>
                              <w:spacing w:val="-5"/>
                              <w:sz w:val="20"/>
                            </w:rPr>
                            <w:fldChar w:fldCharType="begin"/>
                          </w:r>
                          <w:r w:rsidDel="00000000" w:rsidR="00000000" w:rsidRPr="00000000">
                            <w:rPr>
                              <w:spacing w:val="-5"/>
                              <w:sz w:val="20"/>
                            </w:rPr>
                            <w:instrText xml:space="preserve"> PAGE </w:instrText>
                          </w:r>
                          <w:r w:rsidDel="00000000" w:rsidR="00000000" w:rsidRPr="00000000">
                            <w:rPr>
                              <w:spacing w:val="-5"/>
                              <w:sz w:val="20"/>
                            </w:rPr>
                            <w:fldChar w:fldCharType="separate"/>
                          </w:r>
                          <w:r w:rsidDel="00000000" w:rsidR="00302ED3" w:rsidRPr="00000000">
                            <w:rPr>
                              <w:noProof w:val="1"/>
                              <w:spacing w:val="-5"/>
                              <w:sz w:val="20"/>
                            </w:rPr>
                            <w:t>1</w:t>
                          </w:r>
                          <w:r w:rsidDel="00000000" w:rsidR="00000000" w:rsidRPr="00000000">
                            <w:rPr>
                              <w:spacing w:val="-5"/>
                              <w:sz w:val="20"/>
                            </w:rPr>
                            <w:fldChar w:fldCharType="end"/>
                          </w:r>
                        </w:p>
                      </w:txbxContent>
                    </wps:txbx>
                    <wps:bodyPr bIns="0" rtlCol="0" lIns="0"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3120135</wp:posOffset>
              </wp:positionH>
              <wp:positionV relativeFrom="paragraph">
                <wp:posOffset>0</wp:posOffset>
              </wp:positionV>
              <wp:extent cx="191770" cy="165735"/>
              <wp:effectExtent b="0" l="0" r="0" t="0"/>
              <wp:wrapNone/>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91770" cy="165735"/>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932" w:hanging="360"/>
      </w:pPr>
      <w:rPr>
        <w:rFonts w:ascii="Noto Sans Symbols" w:cs="Noto Sans Symbols" w:eastAsia="Noto Sans Symbols" w:hAnsi="Noto Sans Symbols"/>
        <w:b w:val="0"/>
        <w:bCs w:val="0"/>
        <w:i w:val="0"/>
        <w:iCs w:val="0"/>
        <w:sz w:val="22"/>
        <w:szCs w:val="22"/>
      </w:rPr>
    </w:lvl>
    <w:lvl w:ilvl="1">
      <w:start w:val="0"/>
      <w:numFmt w:val="bullet"/>
      <w:lvlText w:val="•"/>
      <w:lvlJc w:val="left"/>
      <w:pPr>
        <w:ind w:left="1880" w:hanging="360"/>
      </w:pPr>
      <w:rPr/>
    </w:lvl>
    <w:lvl w:ilvl="2">
      <w:start w:val="0"/>
      <w:numFmt w:val="bullet"/>
      <w:lvlText w:val="•"/>
      <w:lvlJc w:val="left"/>
      <w:pPr>
        <w:ind w:left="2821" w:hanging="360"/>
      </w:pPr>
      <w:rPr/>
    </w:lvl>
    <w:lvl w:ilvl="3">
      <w:start w:val="0"/>
      <w:numFmt w:val="bullet"/>
      <w:lvlText w:val="•"/>
      <w:lvlJc w:val="left"/>
      <w:pPr>
        <w:ind w:left="3761" w:hanging="360"/>
      </w:pPr>
      <w:rPr/>
    </w:lvl>
    <w:lvl w:ilvl="4">
      <w:start w:val="0"/>
      <w:numFmt w:val="bullet"/>
      <w:lvlText w:val="•"/>
      <w:lvlJc w:val="left"/>
      <w:pPr>
        <w:ind w:left="4702" w:hanging="360"/>
      </w:pPr>
      <w:rPr/>
    </w:lvl>
    <w:lvl w:ilvl="5">
      <w:start w:val="0"/>
      <w:numFmt w:val="bullet"/>
      <w:lvlText w:val="•"/>
      <w:lvlJc w:val="left"/>
      <w:pPr>
        <w:ind w:left="5643" w:hanging="360"/>
      </w:pPr>
      <w:rPr/>
    </w:lvl>
    <w:lvl w:ilvl="6">
      <w:start w:val="0"/>
      <w:numFmt w:val="bullet"/>
      <w:lvlText w:val="•"/>
      <w:lvlJc w:val="left"/>
      <w:pPr>
        <w:ind w:left="6583" w:hanging="360"/>
      </w:pPr>
      <w:rPr/>
    </w:lvl>
    <w:lvl w:ilvl="7">
      <w:start w:val="0"/>
      <w:numFmt w:val="bullet"/>
      <w:lvlText w:val="•"/>
      <w:lvlJc w:val="left"/>
      <w:pPr>
        <w:ind w:left="7524" w:hanging="360"/>
      </w:pPr>
      <w:rPr/>
    </w:lvl>
    <w:lvl w:ilvl="8">
      <w:start w:val="0"/>
      <w:numFmt w:val="bullet"/>
      <w:lvlText w:val="•"/>
      <w:lvlJc w:val="left"/>
      <w:pPr>
        <w:ind w:left="8465" w:hanging="360"/>
      </w:pPr>
      <w:rPr/>
    </w:lvl>
  </w:abstractNum>
  <w:abstractNum w:abstractNumId="2">
    <w:lvl w:ilvl="0">
      <w:start w:val="0"/>
      <w:numFmt w:val="bullet"/>
      <w:lvlText w:val="-"/>
      <w:lvlJc w:val="left"/>
      <w:pPr>
        <w:ind w:left="1052" w:hanging="480"/>
      </w:pPr>
      <w:rPr>
        <w:rFonts w:ascii="Times New Roman" w:cs="Times New Roman" w:eastAsia="Times New Roman" w:hAnsi="Times New Roman"/>
        <w:b w:val="0"/>
        <w:bCs w:val="0"/>
        <w:i w:val="0"/>
        <w:iCs w:val="0"/>
        <w:sz w:val="22"/>
        <w:szCs w:val="22"/>
      </w:rPr>
    </w:lvl>
    <w:lvl w:ilvl="1">
      <w:start w:val="0"/>
      <w:numFmt w:val="bullet"/>
      <w:lvlText w:val="•"/>
      <w:lvlJc w:val="left"/>
      <w:pPr>
        <w:ind w:left="1988" w:hanging="480"/>
      </w:pPr>
      <w:rPr/>
    </w:lvl>
    <w:lvl w:ilvl="2">
      <w:start w:val="0"/>
      <w:numFmt w:val="bullet"/>
      <w:lvlText w:val="•"/>
      <w:lvlJc w:val="left"/>
      <w:pPr>
        <w:ind w:left="2917" w:hanging="480"/>
      </w:pPr>
      <w:rPr/>
    </w:lvl>
    <w:lvl w:ilvl="3">
      <w:start w:val="0"/>
      <w:numFmt w:val="bullet"/>
      <w:lvlText w:val="•"/>
      <w:lvlJc w:val="left"/>
      <w:pPr>
        <w:ind w:left="3845" w:hanging="480"/>
      </w:pPr>
      <w:rPr/>
    </w:lvl>
    <w:lvl w:ilvl="4">
      <w:start w:val="0"/>
      <w:numFmt w:val="bullet"/>
      <w:lvlText w:val="•"/>
      <w:lvlJc w:val="left"/>
      <w:pPr>
        <w:ind w:left="4774" w:hanging="480"/>
      </w:pPr>
      <w:rPr/>
    </w:lvl>
    <w:lvl w:ilvl="5">
      <w:start w:val="0"/>
      <w:numFmt w:val="bullet"/>
      <w:lvlText w:val="•"/>
      <w:lvlJc w:val="left"/>
      <w:pPr>
        <w:ind w:left="5703" w:hanging="480"/>
      </w:pPr>
      <w:rPr/>
    </w:lvl>
    <w:lvl w:ilvl="6">
      <w:start w:val="0"/>
      <w:numFmt w:val="bullet"/>
      <w:lvlText w:val="•"/>
      <w:lvlJc w:val="left"/>
      <w:pPr>
        <w:ind w:left="6631" w:hanging="480"/>
      </w:pPr>
      <w:rPr/>
    </w:lvl>
    <w:lvl w:ilvl="7">
      <w:start w:val="0"/>
      <w:numFmt w:val="bullet"/>
      <w:lvlText w:val="•"/>
      <w:lvlJc w:val="left"/>
      <w:pPr>
        <w:ind w:left="7560" w:hanging="480"/>
      </w:pPr>
      <w:rPr/>
    </w:lvl>
    <w:lvl w:ilvl="8">
      <w:start w:val="0"/>
      <w:numFmt w:val="bullet"/>
      <w:lvlText w:val="•"/>
      <w:lvlJc w:val="left"/>
      <w:pPr>
        <w:ind w:left="8489" w:hanging="480"/>
      </w:pPr>
      <w:rPr/>
    </w:lvl>
  </w:abstractNum>
  <w:abstractNum w:abstractNumId="3">
    <w:lvl w:ilvl="0">
      <w:start w:val="1"/>
      <w:numFmt w:val="decimal"/>
      <w:lvlText w:val="%1."/>
      <w:lvlJc w:val="left"/>
      <w:pPr>
        <w:ind w:left="1292" w:hanging="360.0000000000001"/>
      </w:pPr>
      <w:rPr>
        <w:rFonts w:ascii="Times New Roman" w:cs="Times New Roman" w:eastAsia="Times New Roman" w:hAnsi="Times New Roman"/>
        <w:b w:val="0"/>
        <w:bCs w:val="0"/>
        <w:i w:val="0"/>
        <w:iCs w:val="0"/>
        <w:sz w:val="22"/>
        <w:szCs w:val="22"/>
      </w:rPr>
    </w:lvl>
    <w:lvl w:ilvl="1">
      <w:start w:val="0"/>
      <w:numFmt w:val="bullet"/>
      <w:lvlText w:val="•"/>
      <w:lvlJc w:val="left"/>
      <w:pPr>
        <w:ind w:left="2204" w:hanging="360"/>
      </w:pPr>
      <w:rPr/>
    </w:lvl>
    <w:lvl w:ilvl="2">
      <w:start w:val="0"/>
      <w:numFmt w:val="bullet"/>
      <w:lvlText w:val="•"/>
      <w:lvlJc w:val="left"/>
      <w:pPr>
        <w:ind w:left="3109" w:hanging="360"/>
      </w:pPr>
      <w:rPr/>
    </w:lvl>
    <w:lvl w:ilvl="3">
      <w:start w:val="0"/>
      <w:numFmt w:val="bullet"/>
      <w:lvlText w:val="•"/>
      <w:lvlJc w:val="left"/>
      <w:pPr>
        <w:ind w:left="4013" w:hanging="360"/>
      </w:pPr>
      <w:rPr/>
    </w:lvl>
    <w:lvl w:ilvl="4">
      <w:start w:val="0"/>
      <w:numFmt w:val="bullet"/>
      <w:lvlText w:val="•"/>
      <w:lvlJc w:val="left"/>
      <w:pPr>
        <w:ind w:left="4918" w:hanging="360"/>
      </w:pPr>
      <w:rPr/>
    </w:lvl>
    <w:lvl w:ilvl="5">
      <w:start w:val="0"/>
      <w:numFmt w:val="bullet"/>
      <w:lvlText w:val="•"/>
      <w:lvlJc w:val="left"/>
      <w:pPr>
        <w:ind w:left="5823" w:hanging="360"/>
      </w:pPr>
      <w:rPr/>
    </w:lvl>
    <w:lvl w:ilvl="6">
      <w:start w:val="0"/>
      <w:numFmt w:val="bullet"/>
      <w:lvlText w:val="•"/>
      <w:lvlJc w:val="left"/>
      <w:pPr>
        <w:ind w:left="6727" w:hanging="360"/>
      </w:pPr>
      <w:rPr/>
    </w:lvl>
    <w:lvl w:ilvl="7">
      <w:start w:val="0"/>
      <w:numFmt w:val="bullet"/>
      <w:lvlText w:val="•"/>
      <w:lvlJc w:val="left"/>
      <w:pPr>
        <w:ind w:left="7632" w:hanging="360"/>
      </w:pPr>
      <w:rPr/>
    </w:lvl>
    <w:lvl w:ilvl="8">
      <w:start w:val="0"/>
      <w:numFmt w:val="bullet"/>
      <w:lvlText w:val="•"/>
      <w:lvlJc w:val="left"/>
      <w:pPr>
        <w:ind w:left="8537" w:hanging="360"/>
      </w:pPr>
      <w:rPr/>
    </w:lvl>
  </w:abstractNum>
  <w:abstractNum w:abstractNumId="4">
    <w:lvl w:ilvl="0">
      <w:start w:val="0"/>
      <w:numFmt w:val="bullet"/>
      <w:lvlText w:val="✔"/>
      <w:lvlJc w:val="left"/>
      <w:pPr>
        <w:ind w:left="932" w:hanging="348"/>
      </w:pPr>
      <w:rPr>
        <w:rFonts w:ascii="Noto Sans Symbols" w:cs="Noto Sans Symbols" w:eastAsia="Noto Sans Symbols" w:hAnsi="Noto Sans Symbols"/>
        <w:b w:val="0"/>
        <w:bCs w:val="0"/>
        <w:i w:val="0"/>
        <w:iCs w:val="0"/>
        <w:sz w:val="22"/>
        <w:szCs w:val="22"/>
      </w:rPr>
    </w:lvl>
    <w:lvl w:ilvl="1">
      <w:start w:val="0"/>
      <w:numFmt w:val="bullet"/>
      <w:lvlText w:val="•"/>
      <w:lvlJc w:val="left"/>
      <w:pPr>
        <w:ind w:left="1880" w:hanging="348"/>
      </w:pPr>
      <w:rPr/>
    </w:lvl>
    <w:lvl w:ilvl="2">
      <w:start w:val="0"/>
      <w:numFmt w:val="bullet"/>
      <w:lvlText w:val="•"/>
      <w:lvlJc w:val="left"/>
      <w:pPr>
        <w:ind w:left="2821" w:hanging="348"/>
      </w:pPr>
      <w:rPr/>
    </w:lvl>
    <w:lvl w:ilvl="3">
      <w:start w:val="0"/>
      <w:numFmt w:val="bullet"/>
      <w:lvlText w:val="•"/>
      <w:lvlJc w:val="left"/>
      <w:pPr>
        <w:ind w:left="3761" w:hanging="348"/>
      </w:pPr>
      <w:rPr/>
    </w:lvl>
    <w:lvl w:ilvl="4">
      <w:start w:val="0"/>
      <w:numFmt w:val="bullet"/>
      <w:lvlText w:val="•"/>
      <w:lvlJc w:val="left"/>
      <w:pPr>
        <w:ind w:left="4702" w:hanging="348"/>
      </w:pPr>
      <w:rPr/>
    </w:lvl>
    <w:lvl w:ilvl="5">
      <w:start w:val="0"/>
      <w:numFmt w:val="bullet"/>
      <w:lvlText w:val="•"/>
      <w:lvlJc w:val="left"/>
      <w:pPr>
        <w:ind w:left="5643" w:hanging="348"/>
      </w:pPr>
      <w:rPr/>
    </w:lvl>
    <w:lvl w:ilvl="6">
      <w:start w:val="0"/>
      <w:numFmt w:val="bullet"/>
      <w:lvlText w:val="•"/>
      <w:lvlJc w:val="left"/>
      <w:pPr>
        <w:ind w:left="6583" w:hanging="348"/>
      </w:pPr>
      <w:rPr/>
    </w:lvl>
    <w:lvl w:ilvl="7">
      <w:start w:val="0"/>
      <w:numFmt w:val="bullet"/>
      <w:lvlText w:val="•"/>
      <w:lvlJc w:val="left"/>
      <w:pPr>
        <w:ind w:left="7524" w:hanging="348"/>
      </w:pPr>
      <w:rPr/>
    </w:lvl>
    <w:lvl w:ilvl="8">
      <w:start w:val="0"/>
      <w:numFmt w:val="bullet"/>
      <w:lvlText w:val="•"/>
      <w:lvlJc w:val="left"/>
      <w:pPr>
        <w:ind w:left="8465" w:hanging="348"/>
      </w:pPr>
      <w:rPr/>
    </w:lvl>
  </w:abstractNum>
  <w:abstractNum w:abstractNumId="5">
    <w:lvl w:ilvl="0">
      <w:start w:val="0"/>
      <w:numFmt w:val="bullet"/>
      <w:lvlText w:val="-"/>
      <w:lvlJc w:val="left"/>
      <w:pPr>
        <w:ind w:left="1052" w:hanging="480"/>
      </w:pPr>
      <w:rPr>
        <w:rFonts w:ascii="Times New Roman" w:cs="Times New Roman" w:eastAsia="Times New Roman" w:hAnsi="Times New Roman"/>
        <w:b w:val="0"/>
        <w:bCs w:val="0"/>
        <w:i w:val="0"/>
        <w:iCs w:val="0"/>
        <w:sz w:val="22"/>
        <w:szCs w:val="22"/>
      </w:rPr>
    </w:lvl>
    <w:lvl w:ilvl="1">
      <w:start w:val="0"/>
      <w:numFmt w:val="bullet"/>
      <w:lvlText w:val="•"/>
      <w:lvlJc w:val="left"/>
      <w:pPr>
        <w:ind w:left="1988" w:hanging="480"/>
      </w:pPr>
      <w:rPr/>
    </w:lvl>
    <w:lvl w:ilvl="2">
      <w:start w:val="0"/>
      <w:numFmt w:val="bullet"/>
      <w:lvlText w:val="•"/>
      <w:lvlJc w:val="left"/>
      <w:pPr>
        <w:ind w:left="2917" w:hanging="480"/>
      </w:pPr>
      <w:rPr/>
    </w:lvl>
    <w:lvl w:ilvl="3">
      <w:start w:val="0"/>
      <w:numFmt w:val="bullet"/>
      <w:lvlText w:val="•"/>
      <w:lvlJc w:val="left"/>
      <w:pPr>
        <w:ind w:left="3845" w:hanging="480"/>
      </w:pPr>
      <w:rPr/>
    </w:lvl>
    <w:lvl w:ilvl="4">
      <w:start w:val="0"/>
      <w:numFmt w:val="bullet"/>
      <w:lvlText w:val="•"/>
      <w:lvlJc w:val="left"/>
      <w:pPr>
        <w:ind w:left="4774" w:hanging="480"/>
      </w:pPr>
      <w:rPr/>
    </w:lvl>
    <w:lvl w:ilvl="5">
      <w:start w:val="0"/>
      <w:numFmt w:val="bullet"/>
      <w:lvlText w:val="•"/>
      <w:lvlJc w:val="left"/>
      <w:pPr>
        <w:ind w:left="5703" w:hanging="480"/>
      </w:pPr>
      <w:rPr/>
    </w:lvl>
    <w:lvl w:ilvl="6">
      <w:start w:val="0"/>
      <w:numFmt w:val="bullet"/>
      <w:lvlText w:val="•"/>
      <w:lvlJc w:val="left"/>
      <w:pPr>
        <w:ind w:left="6631" w:hanging="480"/>
      </w:pPr>
      <w:rPr/>
    </w:lvl>
    <w:lvl w:ilvl="7">
      <w:start w:val="0"/>
      <w:numFmt w:val="bullet"/>
      <w:lvlText w:val="•"/>
      <w:lvlJc w:val="left"/>
      <w:pPr>
        <w:ind w:left="7560" w:hanging="480"/>
      </w:pPr>
      <w:rPr/>
    </w:lvl>
    <w:lvl w:ilvl="8">
      <w:start w:val="0"/>
      <w:numFmt w:val="bullet"/>
      <w:lvlText w:val="•"/>
      <w:lvlJc w:val="left"/>
      <w:pPr>
        <w:ind w:left="8489" w:hanging="480"/>
      </w:pPr>
      <w:rPr/>
    </w:lvl>
  </w:abstractNum>
  <w:abstractNum w:abstractNumId="6">
    <w:lvl w:ilvl="0">
      <w:start w:val="1"/>
      <w:numFmt w:val="lowerLetter"/>
      <w:lvlText w:val="%1)"/>
      <w:lvlJc w:val="left"/>
      <w:pPr>
        <w:ind w:left="932" w:hanging="360"/>
      </w:pPr>
      <w:rPr>
        <w:rFonts w:ascii="Times New Roman" w:cs="Times New Roman" w:eastAsia="Times New Roman" w:hAnsi="Times New Roman"/>
        <w:b w:val="0"/>
        <w:bCs w:val="0"/>
        <w:i w:val="0"/>
        <w:iCs w:val="0"/>
        <w:sz w:val="22"/>
        <w:szCs w:val="22"/>
      </w:rPr>
    </w:lvl>
    <w:lvl w:ilvl="1">
      <w:start w:val="1"/>
      <w:numFmt w:val="lowerLetter"/>
      <w:lvlText w:val="%2)"/>
      <w:lvlJc w:val="left"/>
      <w:pPr>
        <w:ind w:left="1292" w:hanging="360.0000000000001"/>
      </w:pPr>
      <w:rPr>
        <w:rFonts w:ascii="Times New Roman" w:cs="Times New Roman" w:eastAsia="Times New Roman" w:hAnsi="Times New Roman"/>
        <w:b w:val="0"/>
        <w:bCs w:val="0"/>
        <w:i w:val="0"/>
        <w:iCs w:val="0"/>
        <w:sz w:val="22"/>
        <w:szCs w:val="22"/>
      </w:rPr>
    </w:lvl>
    <w:lvl w:ilvl="2">
      <w:start w:val="0"/>
      <w:numFmt w:val="bullet"/>
      <w:lvlText w:val="•"/>
      <w:lvlJc w:val="left"/>
      <w:pPr>
        <w:ind w:left="2305" w:hanging="360"/>
      </w:pPr>
      <w:rPr/>
    </w:lvl>
    <w:lvl w:ilvl="3">
      <w:start w:val="0"/>
      <w:numFmt w:val="bullet"/>
      <w:lvlText w:val="•"/>
      <w:lvlJc w:val="left"/>
      <w:pPr>
        <w:ind w:left="3310" w:hanging="360"/>
      </w:pPr>
      <w:rPr/>
    </w:lvl>
    <w:lvl w:ilvl="4">
      <w:start w:val="0"/>
      <w:numFmt w:val="bullet"/>
      <w:lvlText w:val="•"/>
      <w:lvlJc w:val="left"/>
      <w:pPr>
        <w:ind w:left="4315" w:hanging="360"/>
      </w:pPr>
      <w:rPr/>
    </w:lvl>
    <w:lvl w:ilvl="5">
      <w:start w:val="0"/>
      <w:numFmt w:val="bullet"/>
      <w:lvlText w:val="•"/>
      <w:lvlJc w:val="left"/>
      <w:pPr>
        <w:ind w:left="5320" w:hanging="360"/>
      </w:pPr>
      <w:rPr/>
    </w:lvl>
    <w:lvl w:ilvl="6">
      <w:start w:val="0"/>
      <w:numFmt w:val="bullet"/>
      <w:lvlText w:val="•"/>
      <w:lvlJc w:val="left"/>
      <w:pPr>
        <w:ind w:left="6325" w:hanging="360"/>
      </w:pPr>
      <w:rPr/>
    </w:lvl>
    <w:lvl w:ilvl="7">
      <w:start w:val="0"/>
      <w:numFmt w:val="bullet"/>
      <w:lvlText w:val="•"/>
      <w:lvlJc w:val="left"/>
      <w:pPr>
        <w:ind w:left="7330" w:hanging="360"/>
      </w:pPr>
      <w:rPr/>
    </w:lvl>
    <w:lvl w:ilvl="8">
      <w:start w:val="0"/>
      <w:numFmt w:val="bullet"/>
      <w:lvlText w:val="•"/>
      <w:lvlJc w:val="left"/>
      <w:pPr>
        <w:ind w:left="8336" w:hanging="36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i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212"/>
      <w:jc w:val="both"/>
    </w:pPr>
    <w:rPr>
      <w:b w:val="1"/>
      <w:bCs w:val="1"/>
    </w:rPr>
  </w:style>
  <w:style w:type="paragraph" w:styleId="Heading2">
    <w:name w:val="heading 2"/>
    <w:basedOn w:val="Normal"/>
    <w:next w:val="Normal"/>
    <w:pPr>
      <w:ind w:left="212"/>
      <w:jc w:val="both"/>
    </w:pPr>
    <w:rPr>
      <w:b w:val="1"/>
      <w:bCs w:val="1"/>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ind w:left="212" w:right="481" w:firstLine="200.99999999999997"/>
      <w:jc w:val="both"/>
    </w:pPr>
    <w:rPr>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comune.santamarialacarita.na.it/" TargetMode="External"/><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